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80"/>
      </w:tblGrid>
      <w:tr w:rsidR="00101980" w:rsidRPr="007275BA" w:rsidTr="00ED040E">
        <w:trPr>
          <w:trHeight w:val="139"/>
        </w:trPr>
        <w:tc>
          <w:tcPr>
            <w:tcW w:w="2628" w:type="dxa"/>
          </w:tcPr>
          <w:p w:rsidR="00101980" w:rsidRPr="007275BA" w:rsidRDefault="00101980" w:rsidP="00101980">
            <w:pPr>
              <w:autoSpaceDE w:val="0"/>
              <w:autoSpaceDN w:val="0"/>
              <w:adjustRightInd w:val="0"/>
              <w:spacing w:before="120" w:after="12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Modulnummer</w:t>
            </w:r>
          </w:p>
        </w:tc>
        <w:tc>
          <w:tcPr>
            <w:tcW w:w="6480" w:type="dxa"/>
          </w:tcPr>
          <w:p w:rsidR="00101980" w:rsidRPr="007275BA" w:rsidRDefault="000B49DE" w:rsidP="00101980">
            <w:pPr>
              <w:autoSpaceDE w:val="0"/>
              <w:autoSpaceDN w:val="0"/>
              <w:adjustRightInd w:val="0"/>
              <w:spacing w:before="120" w:after="120"/>
              <w:jc w:val="both"/>
              <w:rPr>
                <w:rFonts w:ascii="Roboto" w:eastAsia="Times New Roman" w:hAnsi="Roboto" w:cs="Arial"/>
                <w:color w:val="000000"/>
                <w:sz w:val="20"/>
                <w:szCs w:val="20"/>
              </w:rPr>
            </w:pPr>
            <w:r>
              <w:rPr>
                <w:rFonts w:ascii="Roboto" w:hAnsi="Roboto" w:cs="Arial"/>
                <w:sz w:val="20"/>
                <w:szCs w:val="20"/>
              </w:rPr>
              <w:t>136005-005 (Version 02)</w:t>
            </w:r>
          </w:p>
        </w:tc>
      </w:tr>
      <w:tr w:rsidR="00101980" w:rsidRPr="007275BA" w:rsidTr="00ED040E">
        <w:trPr>
          <w:trHeight w:val="139"/>
        </w:trPr>
        <w:tc>
          <w:tcPr>
            <w:tcW w:w="2628" w:type="dxa"/>
          </w:tcPr>
          <w:p w:rsidR="00101980" w:rsidRPr="007275BA" w:rsidRDefault="00101980" w:rsidP="00101980">
            <w:pPr>
              <w:autoSpaceDE w:val="0"/>
              <w:autoSpaceDN w:val="0"/>
              <w:adjustRightInd w:val="0"/>
              <w:spacing w:before="120" w:after="12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Modulname </w:t>
            </w:r>
          </w:p>
        </w:tc>
        <w:tc>
          <w:tcPr>
            <w:tcW w:w="6480" w:type="dxa"/>
          </w:tcPr>
          <w:p w:rsidR="00101980" w:rsidRPr="007275BA" w:rsidRDefault="00101980" w:rsidP="00101980">
            <w:pPr>
              <w:autoSpaceDE w:val="0"/>
              <w:autoSpaceDN w:val="0"/>
              <w:adjustRightInd w:val="0"/>
              <w:spacing w:before="120" w:after="12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Französisch V (Niveau B1/B2) </w:t>
            </w:r>
          </w:p>
        </w:tc>
      </w:tr>
      <w:tr w:rsidR="00101980" w:rsidRPr="007275BA" w:rsidTr="00ED040E">
        <w:trPr>
          <w:trHeight w:val="139"/>
        </w:trPr>
        <w:tc>
          <w:tcPr>
            <w:tcW w:w="2628" w:type="dxa"/>
          </w:tcPr>
          <w:p w:rsidR="00101980" w:rsidRPr="007275BA" w:rsidRDefault="00101980" w:rsidP="00101980">
            <w:pPr>
              <w:autoSpaceDE w:val="0"/>
              <w:autoSpaceDN w:val="0"/>
              <w:adjustRightInd w:val="0"/>
              <w:spacing w:before="120" w:after="12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Modulverantwortlich </w:t>
            </w:r>
          </w:p>
        </w:tc>
        <w:tc>
          <w:tcPr>
            <w:tcW w:w="6480" w:type="dxa"/>
          </w:tcPr>
          <w:p w:rsidR="00101980" w:rsidRPr="007275BA" w:rsidRDefault="00101980" w:rsidP="00101980">
            <w:pPr>
              <w:autoSpaceDE w:val="0"/>
              <w:autoSpaceDN w:val="0"/>
              <w:adjustRightInd w:val="0"/>
              <w:spacing w:before="120" w:after="12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Fachgruppenleiter Französisch des Zentrums für Fremdsprachen </w:t>
            </w:r>
          </w:p>
        </w:tc>
      </w:tr>
      <w:tr w:rsidR="00101980" w:rsidRPr="007275BA" w:rsidTr="00ED040E">
        <w:trPr>
          <w:trHeight w:val="2548"/>
        </w:trPr>
        <w:tc>
          <w:tcPr>
            <w:tcW w:w="2628" w:type="dxa"/>
          </w:tcPr>
          <w:p w:rsidR="00101980" w:rsidRPr="007275BA" w:rsidRDefault="00101980" w:rsidP="00101980">
            <w:pPr>
              <w:autoSpaceDE w:val="0"/>
              <w:autoSpaceDN w:val="0"/>
              <w:adjustRightInd w:val="0"/>
              <w:spacing w:before="120" w:after="100" w:afterAutospacing="1"/>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Inhalte und Qualifikationsziele </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u w:val="single"/>
              </w:rPr>
              <w:t xml:space="preserve">Inhalte: </w:t>
            </w:r>
          </w:p>
          <w:p w:rsidR="00101980" w:rsidRPr="007275BA" w:rsidRDefault="00101980" w:rsidP="00101980">
            <w:pPr>
              <w:numPr>
                <w:ilvl w:val="0"/>
                <w:numId w:val="1"/>
              </w:numPr>
              <w:autoSpaceDE w:val="0"/>
              <w:autoSpaceDN w:val="0"/>
              <w:adjustRightInd w:val="0"/>
              <w:ind w:right="1266"/>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Festigung und Erweiterung der Sprachkenntnisse </w:t>
            </w:r>
          </w:p>
          <w:p w:rsidR="00101980" w:rsidRPr="007275BA" w:rsidRDefault="00101980" w:rsidP="00101980">
            <w:pPr>
              <w:numPr>
                <w:ilvl w:val="0"/>
                <w:numId w:val="1"/>
              </w:num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Vertiefung grammatischer Strukturen: </w:t>
            </w:r>
            <w:proofErr w:type="spellStart"/>
            <w:r w:rsidRPr="007275BA">
              <w:rPr>
                <w:rFonts w:ascii="Roboto" w:eastAsia="Times New Roman" w:hAnsi="Roboto" w:cs="Arial"/>
                <w:i/>
                <w:iCs/>
                <w:color w:val="000000"/>
                <w:sz w:val="20"/>
                <w:szCs w:val="20"/>
              </w:rPr>
              <w:t>subjonctif</w:t>
            </w:r>
            <w:proofErr w:type="spellEnd"/>
            <w:r w:rsidRPr="007275BA">
              <w:rPr>
                <w:rFonts w:ascii="Roboto" w:eastAsia="Times New Roman" w:hAnsi="Roboto" w:cs="Arial"/>
                <w:color w:val="000000"/>
                <w:sz w:val="20"/>
                <w:szCs w:val="20"/>
              </w:rPr>
              <w:t>, Bedingungsätze, Komparation, Einübung von Stilmitteln</w:t>
            </w:r>
            <w:r w:rsidRPr="007275BA">
              <w:rPr>
                <w:rFonts w:ascii="Roboto" w:eastAsia="Times New Roman" w:hAnsi="Roboto" w:cs="Arial"/>
                <w:i/>
                <w:iCs/>
                <w:color w:val="000000"/>
                <w:sz w:val="20"/>
                <w:szCs w:val="20"/>
              </w:rPr>
              <w:t xml:space="preserve">, </w:t>
            </w:r>
            <w:proofErr w:type="spellStart"/>
            <w:r w:rsidRPr="007275BA">
              <w:rPr>
                <w:rFonts w:ascii="Roboto" w:eastAsia="Times New Roman" w:hAnsi="Roboto" w:cs="Arial"/>
                <w:i/>
                <w:iCs/>
                <w:color w:val="000000"/>
                <w:sz w:val="20"/>
                <w:szCs w:val="20"/>
              </w:rPr>
              <w:t>variétés</w:t>
            </w:r>
            <w:proofErr w:type="spellEnd"/>
            <w:r w:rsidRPr="007275BA">
              <w:rPr>
                <w:rFonts w:ascii="Roboto" w:eastAsia="Times New Roman" w:hAnsi="Roboto" w:cs="Arial"/>
                <w:i/>
                <w:iCs/>
                <w:color w:val="000000"/>
                <w:sz w:val="20"/>
                <w:szCs w:val="20"/>
              </w:rPr>
              <w:t xml:space="preserve"> </w:t>
            </w:r>
            <w:proofErr w:type="spellStart"/>
            <w:r w:rsidRPr="007275BA">
              <w:rPr>
                <w:rFonts w:ascii="Roboto" w:eastAsia="Times New Roman" w:hAnsi="Roboto" w:cs="Arial"/>
                <w:i/>
                <w:iCs/>
                <w:color w:val="000000"/>
                <w:sz w:val="20"/>
                <w:szCs w:val="20"/>
              </w:rPr>
              <w:t>linguistiques</w:t>
            </w:r>
            <w:proofErr w:type="spellEnd"/>
            <w:r w:rsidRPr="007275BA">
              <w:rPr>
                <w:rFonts w:ascii="Roboto" w:eastAsia="Times New Roman" w:hAnsi="Roboto" w:cs="Arial"/>
                <w:i/>
                <w:iCs/>
                <w:color w:val="000000"/>
                <w:sz w:val="20"/>
                <w:szCs w:val="20"/>
              </w:rPr>
              <w:t xml:space="preserve">, </w:t>
            </w:r>
            <w:proofErr w:type="spellStart"/>
            <w:r w:rsidRPr="007275BA">
              <w:rPr>
                <w:rFonts w:ascii="Roboto" w:eastAsia="Times New Roman" w:hAnsi="Roboto" w:cs="Arial"/>
                <w:i/>
                <w:iCs/>
                <w:color w:val="000000"/>
                <w:sz w:val="20"/>
                <w:szCs w:val="20"/>
              </w:rPr>
              <w:t>langues</w:t>
            </w:r>
            <w:proofErr w:type="spellEnd"/>
            <w:r w:rsidRPr="007275BA">
              <w:rPr>
                <w:rFonts w:ascii="Roboto" w:eastAsia="Times New Roman" w:hAnsi="Roboto" w:cs="Arial"/>
                <w:i/>
                <w:iCs/>
                <w:color w:val="000000"/>
                <w:sz w:val="20"/>
                <w:szCs w:val="20"/>
              </w:rPr>
              <w:t xml:space="preserve"> </w:t>
            </w:r>
            <w:proofErr w:type="spellStart"/>
            <w:r w:rsidRPr="007275BA">
              <w:rPr>
                <w:rFonts w:ascii="Roboto" w:eastAsia="Times New Roman" w:hAnsi="Roboto" w:cs="Arial"/>
                <w:i/>
                <w:iCs/>
                <w:color w:val="000000"/>
                <w:sz w:val="20"/>
                <w:szCs w:val="20"/>
              </w:rPr>
              <w:t>régionales</w:t>
            </w:r>
            <w:proofErr w:type="spellEnd"/>
            <w:r w:rsidRPr="007275BA">
              <w:rPr>
                <w:rFonts w:ascii="Roboto" w:eastAsia="Times New Roman" w:hAnsi="Roboto" w:cs="Arial"/>
                <w:i/>
                <w:iCs/>
                <w:color w:val="000000"/>
                <w:sz w:val="20"/>
                <w:szCs w:val="20"/>
              </w:rPr>
              <w:t xml:space="preserve">, </w:t>
            </w:r>
            <w:r w:rsidRPr="007275BA">
              <w:rPr>
                <w:rFonts w:ascii="Roboto" w:eastAsia="Times New Roman" w:hAnsi="Roboto" w:cs="Arial"/>
                <w:color w:val="000000"/>
                <w:sz w:val="20"/>
                <w:szCs w:val="20"/>
              </w:rPr>
              <w:t xml:space="preserve">Jugendsprache: </w:t>
            </w:r>
            <w:r w:rsidRPr="007275BA">
              <w:rPr>
                <w:rFonts w:ascii="Roboto" w:eastAsia="Times New Roman" w:hAnsi="Roboto" w:cs="Arial"/>
                <w:i/>
                <w:iCs/>
                <w:color w:val="000000"/>
                <w:sz w:val="20"/>
                <w:szCs w:val="20"/>
              </w:rPr>
              <w:t xml:space="preserve">le </w:t>
            </w:r>
            <w:proofErr w:type="spellStart"/>
            <w:r w:rsidRPr="007275BA">
              <w:rPr>
                <w:rFonts w:ascii="Roboto" w:eastAsia="Times New Roman" w:hAnsi="Roboto" w:cs="Arial"/>
                <w:i/>
                <w:iCs/>
                <w:color w:val="000000"/>
                <w:sz w:val="20"/>
                <w:szCs w:val="20"/>
              </w:rPr>
              <w:t>verlan</w:t>
            </w:r>
            <w:proofErr w:type="spellEnd"/>
            <w:r w:rsidRPr="007275BA">
              <w:rPr>
                <w:rFonts w:ascii="Roboto" w:eastAsia="Times New Roman" w:hAnsi="Roboto" w:cs="Arial"/>
                <w:i/>
                <w:iCs/>
                <w:color w:val="000000"/>
                <w:sz w:val="20"/>
                <w:szCs w:val="20"/>
              </w:rPr>
              <w:t xml:space="preserve">, </w:t>
            </w:r>
            <w:r w:rsidRPr="007275BA">
              <w:rPr>
                <w:rFonts w:ascii="Roboto" w:eastAsia="Times New Roman" w:hAnsi="Roboto" w:cs="Arial"/>
                <w:color w:val="000000"/>
                <w:sz w:val="20"/>
                <w:szCs w:val="20"/>
              </w:rPr>
              <w:t xml:space="preserve">Kohäsions- und Kohärenzelemente </w:t>
            </w:r>
          </w:p>
          <w:p w:rsidR="00101980" w:rsidRPr="007275BA" w:rsidRDefault="00101980" w:rsidP="00101980">
            <w:pPr>
              <w:numPr>
                <w:ilvl w:val="0"/>
                <w:numId w:val="1"/>
              </w:num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Textsorten: </w:t>
            </w:r>
            <w:proofErr w:type="spellStart"/>
            <w:r w:rsidRPr="007275BA">
              <w:rPr>
                <w:rFonts w:ascii="Roboto" w:eastAsia="Times New Roman" w:hAnsi="Roboto" w:cs="Arial"/>
                <w:color w:val="000000"/>
                <w:sz w:val="20"/>
                <w:szCs w:val="20"/>
              </w:rPr>
              <w:t>essai</w:t>
            </w:r>
            <w:proofErr w:type="spellEnd"/>
            <w:r w:rsidRPr="007275BA">
              <w:rPr>
                <w:rFonts w:ascii="Roboto" w:eastAsia="Times New Roman" w:hAnsi="Roboto" w:cs="Arial"/>
                <w:color w:val="000000"/>
                <w:sz w:val="20"/>
                <w:szCs w:val="20"/>
              </w:rPr>
              <w:t xml:space="preserve">, </w:t>
            </w:r>
            <w:proofErr w:type="spellStart"/>
            <w:r w:rsidRPr="007275BA">
              <w:rPr>
                <w:rFonts w:ascii="Roboto" w:eastAsia="Times New Roman" w:hAnsi="Roboto" w:cs="Arial"/>
                <w:color w:val="000000"/>
                <w:sz w:val="20"/>
                <w:szCs w:val="20"/>
              </w:rPr>
              <w:t>résumé</w:t>
            </w:r>
            <w:proofErr w:type="spellEnd"/>
            <w:r w:rsidRPr="007275BA">
              <w:rPr>
                <w:rFonts w:ascii="Roboto" w:eastAsia="Times New Roman" w:hAnsi="Roboto" w:cs="Arial"/>
                <w:color w:val="000000"/>
                <w:sz w:val="20"/>
                <w:szCs w:val="20"/>
              </w:rPr>
              <w:t xml:space="preserve">, </w:t>
            </w:r>
            <w:proofErr w:type="spellStart"/>
            <w:r w:rsidRPr="007275BA">
              <w:rPr>
                <w:rFonts w:ascii="Roboto" w:eastAsia="Times New Roman" w:hAnsi="Roboto" w:cs="Arial"/>
                <w:color w:val="000000"/>
                <w:sz w:val="20"/>
                <w:szCs w:val="20"/>
              </w:rPr>
              <w:t>synthèse</w:t>
            </w:r>
            <w:proofErr w:type="spellEnd"/>
            <w:r w:rsidRPr="007275BA">
              <w:rPr>
                <w:rFonts w:ascii="Roboto" w:eastAsia="Times New Roman" w:hAnsi="Roboto" w:cs="Arial"/>
                <w:color w:val="000000"/>
                <w:sz w:val="20"/>
                <w:szCs w:val="20"/>
              </w:rPr>
              <w:t xml:space="preserve">, </w:t>
            </w:r>
            <w:proofErr w:type="spellStart"/>
            <w:r w:rsidRPr="007275BA">
              <w:rPr>
                <w:rFonts w:ascii="Roboto" w:eastAsia="Times New Roman" w:hAnsi="Roboto" w:cs="Arial"/>
                <w:color w:val="000000"/>
                <w:sz w:val="20"/>
                <w:szCs w:val="20"/>
              </w:rPr>
              <w:t>commentaire</w:t>
            </w:r>
            <w:proofErr w:type="spellEnd"/>
            <w:r w:rsidRPr="007275BA">
              <w:rPr>
                <w:rFonts w:ascii="Roboto" w:eastAsia="Times New Roman" w:hAnsi="Roboto" w:cs="Arial"/>
                <w:color w:val="000000"/>
                <w:sz w:val="20"/>
                <w:szCs w:val="20"/>
              </w:rPr>
              <w:t xml:space="preserve"> </w:t>
            </w:r>
          </w:p>
          <w:p w:rsidR="00101980" w:rsidRPr="007275BA" w:rsidRDefault="00101980" w:rsidP="00101980">
            <w:pPr>
              <w:numPr>
                <w:ilvl w:val="0"/>
                <w:numId w:val="1"/>
              </w:num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Aktuelle Themen werden besprochen, authentische Hör- und Lesetexte dienen der Erweiterung der Lexik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Die Ausbildung orientiert sich an der Sprachkompetenzstufe B1/B2 des Gemeinsamen Europäischen Referenzrahmens für Sprachen (GER). </w:t>
            </w:r>
          </w:p>
          <w:p w:rsidR="00101980" w:rsidRPr="007275BA" w:rsidRDefault="00101980" w:rsidP="00101980">
            <w:pPr>
              <w:autoSpaceDE w:val="0"/>
              <w:autoSpaceDN w:val="0"/>
              <w:adjustRightInd w:val="0"/>
              <w:jc w:val="both"/>
              <w:rPr>
                <w:rFonts w:ascii="Roboto" w:eastAsia="Times New Roman" w:hAnsi="Roboto" w:cs="Arial"/>
                <w:color w:val="000000"/>
                <w:sz w:val="20"/>
                <w:szCs w:val="20"/>
                <w:u w:val="single"/>
              </w:rPr>
            </w:pP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u w:val="single"/>
              </w:rPr>
              <w:t>Qualifikationsziele:</w:t>
            </w:r>
            <w:r w:rsidRPr="007275BA">
              <w:rPr>
                <w:rFonts w:ascii="Roboto" w:eastAsia="Times New Roman" w:hAnsi="Roboto" w:cs="Arial"/>
                <w:color w:val="000000"/>
                <w:sz w:val="20"/>
                <w:szCs w:val="20"/>
              </w:rPr>
              <w:t xml:space="preserve"> Die Stud</w:t>
            </w:r>
            <w:r w:rsidR="004C06C6" w:rsidRPr="007275BA">
              <w:rPr>
                <w:rFonts w:ascii="Roboto" w:eastAsia="Times New Roman" w:hAnsi="Roboto" w:cs="Arial"/>
                <w:color w:val="000000"/>
                <w:sz w:val="20"/>
                <w:szCs w:val="20"/>
              </w:rPr>
              <w:t>enten</w:t>
            </w:r>
            <w:r w:rsidRPr="007275BA">
              <w:rPr>
                <w:rFonts w:ascii="Roboto" w:eastAsia="Times New Roman" w:hAnsi="Roboto" w:cs="Arial"/>
                <w:color w:val="000000"/>
                <w:sz w:val="20"/>
                <w:szCs w:val="20"/>
              </w:rPr>
              <w:t xml:space="preserve"> können die Hauptpunkte verstehen, wenn klare Standardsprache verwendet wird und wenn es um vertraute Dinge aus Arbeit, Universität, Freizeit usw. geht. Sie können die meisten Situationen bewältigen, denen man auf Reisen im Sprachgebiet begegnet.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Sie können sich einfach und zusammenhängend über vertraute Themen und persönliche Interessengebiete äußern. Sie können über Erfahrungen und Ereignisse berichten, Träume, Hoffnungen und Ziele beschreiben und zu Plänen und Ansichten kurze Begründungen und Erklärungen abgeben.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Der Abschluss des Moduls entspricht der Sprachkompetenzstufe B1/B2 des Gemeinsamen Europäischen Referenzrahmens für Sprachen (GER).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p>
        </w:tc>
      </w:tr>
      <w:tr w:rsidR="00101980" w:rsidRPr="007275BA" w:rsidTr="00ED040E">
        <w:trPr>
          <w:trHeight w:val="255"/>
        </w:trPr>
        <w:tc>
          <w:tcPr>
            <w:tcW w:w="2628"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Lehrformen </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proofErr w:type="spellStart"/>
            <w:r w:rsidRPr="007275BA">
              <w:rPr>
                <w:rFonts w:ascii="Roboto" w:eastAsia="Times New Roman" w:hAnsi="Roboto" w:cs="Arial"/>
                <w:color w:val="000000"/>
                <w:sz w:val="20"/>
                <w:szCs w:val="20"/>
              </w:rPr>
              <w:t>Lehrform</w:t>
            </w:r>
            <w:proofErr w:type="spellEnd"/>
            <w:r w:rsidRPr="007275BA">
              <w:rPr>
                <w:rFonts w:ascii="Roboto" w:eastAsia="Times New Roman" w:hAnsi="Roboto" w:cs="Arial"/>
                <w:color w:val="000000"/>
                <w:sz w:val="20"/>
                <w:szCs w:val="20"/>
              </w:rPr>
              <w:t xml:space="preserve"> des Moduls ist die Übung. </w:t>
            </w:r>
          </w:p>
          <w:p w:rsidR="00101980" w:rsidRPr="007275BA" w:rsidRDefault="00101980" w:rsidP="00101980">
            <w:pPr>
              <w:numPr>
                <w:ilvl w:val="0"/>
                <w:numId w:val="2"/>
              </w:num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Ü: Kurs 5 (4 LVS) </w:t>
            </w:r>
          </w:p>
          <w:p w:rsidR="00101980" w:rsidRPr="007275BA" w:rsidRDefault="00101980" w:rsidP="00101980">
            <w:pPr>
              <w:autoSpaceDE w:val="0"/>
              <w:autoSpaceDN w:val="0"/>
              <w:adjustRightInd w:val="0"/>
              <w:rPr>
                <w:rFonts w:ascii="Roboto" w:eastAsia="Times New Roman" w:hAnsi="Roboto" w:cs="Arial"/>
                <w:color w:val="000000"/>
                <w:sz w:val="20"/>
                <w:szCs w:val="20"/>
              </w:rPr>
            </w:pPr>
          </w:p>
        </w:tc>
      </w:tr>
      <w:tr w:rsidR="00101980" w:rsidRPr="007275BA" w:rsidTr="00ED040E">
        <w:trPr>
          <w:trHeight w:val="254"/>
        </w:trPr>
        <w:tc>
          <w:tcPr>
            <w:tcW w:w="2628" w:type="dxa"/>
          </w:tcPr>
          <w:p w:rsidR="00101980" w:rsidRPr="007275BA" w:rsidRDefault="00101980" w:rsidP="00101980">
            <w:p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Voraussetzungen für die Teilnahme </w:t>
            </w:r>
            <w:r w:rsidR="00E324D8" w:rsidRPr="007275BA">
              <w:rPr>
                <w:rFonts w:ascii="Roboto" w:hAnsi="Roboto" w:cs="Arial"/>
                <w:b/>
                <w:bCs/>
                <w:sz w:val="20"/>
                <w:szCs w:val="20"/>
              </w:rPr>
              <w:t>(empfohlene Kenntnisse und Fähigkeiten)</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Abgeschlossener vorausgehender Kurs 4 oder Einstufungstest (Qualifizierungsempfehlung)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p>
        </w:tc>
      </w:tr>
      <w:tr w:rsidR="00101980" w:rsidRPr="007275BA" w:rsidTr="00ED040E">
        <w:trPr>
          <w:trHeight w:val="253"/>
        </w:trPr>
        <w:tc>
          <w:tcPr>
            <w:tcW w:w="2628" w:type="dxa"/>
          </w:tcPr>
          <w:p w:rsidR="00101980" w:rsidRPr="007275BA" w:rsidRDefault="00101980" w:rsidP="00101980">
            <w:pPr>
              <w:autoSpaceDE w:val="0"/>
              <w:autoSpaceDN w:val="0"/>
              <w:adjustRightInd w:val="0"/>
              <w:rPr>
                <w:rFonts w:ascii="Roboto" w:eastAsia="Times New Roman" w:hAnsi="Roboto" w:cs="Arial"/>
                <w:b/>
                <w:bCs/>
                <w:color w:val="000000"/>
                <w:sz w:val="20"/>
                <w:szCs w:val="20"/>
              </w:rPr>
            </w:pPr>
            <w:r w:rsidRPr="007275BA">
              <w:rPr>
                <w:rFonts w:ascii="Roboto" w:eastAsia="Times New Roman" w:hAnsi="Roboto" w:cs="Arial"/>
                <w:b/>
                <w:bCs/>
                <w:color w:val="000000"/>
                <w:sz w:val="20"/>
                <w:szCs w:val="20"/>
              </w:rPr>
              <w:t xml:space="preserve">Verwendbarkeit des Moduls </w:t>
            </w:r>
          </w:p>
          <w:p w:rsidR="00101980" w:rsidRPr="007275BA" w:rsidRDefault="00101980" w:rsidP="00101980">
            <w:pPr>
              <w:autoSpaceDE w:val="0"/>
              <w:autoSpaceDN w:val="0"/>
              <w:adjustRightInd w:val="0"/>
              <w:rPr>
                <w:rFonts w:ascii="Roboto" w:eastAsia="Times New Roman" w:hAnsi="Roboto" w:cs="Arial"/>
                <w:color w:val="000000"/>
                <w:sz w:val="16"/>
                <w:szCs w:val="16"/>
              </w:rPr>
            </w:pPr>
          </w:p>
        </w:tc>
        <w:tc>
          <w:tcPr>
            <w:tcW w:w="6480" w:type="dxa"/>
          </w:tcPr>
          <w:p w:rsidR="00101980" w:rsidRPr="007275BA" w:rsidRDefault="00ED040E"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w:t>
            </w:r>
            <w:r w:rsidR="00101980" w:rsidRPr="007275BA">
              <w:rPr>
                <w:rFonts w:ascii="Roboto" w:eastAsia="Times New Roman" w:hAnsi="Roboto" w:cs="Arial"/>
                <w:color w:val="000000"/>
                <w:sz w:val="20"/>
                <w:szCs w:val="20"/>
              </w:rPr>
              <w:t xml:space="preserve"> </w:t>
            </w:r>
          </w:p>
        </w:tc>
      </w:tr>
      <w:tr w:rsidR="00101980" w:rsidRPr="007275BA" w:rsidTr="00ED040E">
        <w:trPr>
          <w:trHeight w:val="369"/>
        </w:trPr>
        <w:tc>
          <w:tcPr>
            <w:tcW w:w="2628" w:type="dxa"/>
          </w:tcPr>
          <w:p w:rsidR="00101980" w:rsidRPr="007275BA" w:rsidRDefault="00101980" w:rsidP="00101980">
            <w:pPr>
              <w:autoSpaceDE w:val="0"/>
              <w:autoSpaceDN w:val="0"/>
              <w:adjustRightInd w:val="0"/>
              <w:rPr>
                <w:rFonts w:ascii="Roboto" w:eastAsia="Times New Roman" w:hAnsi="Roboto" w:cs="Arial"/>
                <w:b/>
                <w:bCs/>
                <w:color w:val="000000"/>
                <w:sz w:val="20"/>
                <w:szCs w:val="20"/>
              </w:rPr>
            </w:pPr>
            <w:r w:rsidRPr="007275BA">
              <w:rPr>
                <w:rFonts w:ascii="Roboto" w:eastAsia="Times New Roman" w:hAnsi="Roboto" w:cs="Arial"/>
                <w:b/>
                <w:bCs/>
                <w:color w:val="000000"/>
                <w:sz w:val="20"/>
                <w:szCs w:val="20"/>
              </w:rPr>
              <w:t xml:space="preserve">Voraussetzungen für die Vergabe von Leistungspunkten </w:t>
            </w:r>
          </w:p>
          <w:p w:rsidR="00101980" w:rsidRPr="007275BA" w:rsidRDefault="00101980" w:rsidP="00101980">
            <w:pPr>
              <w:autoSpaceDE w:val="0"/>
              <w:autoSpaceDN w:val="0"/>
              <w:adjustRightInd w:val="0"/>
              <w:rPr>
                <w:rFonts w:ascii="Roboto" w:eastAsia="Times New Roman" w:hAnsi="Roboto" w:cs="Arial"/>
                <w:color w:val="000000"/>
                <w:sz w:val="16"/>
                <w:szCs w:val="16"/>
              </w:rPr>
            </w:pP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Die erfolgreiche Ablegung der Modulprüfung ist Voraussetzung für die Vergabe von Leistungspunkten. </w:t>
            </w:r>
          </w:p>
        </w:tc>
      </w:tr>
      <w:tr w:rsidR="00101980" w:rsidRPr="007275BA" w:rsidTr="00ED040E">
        <w:trPr>
          <w:trHeight w:val="599"/>
        </w:trPr>
        <w:tc>
          <w:tcPr>
            <w:tcW w:w="2628"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Modulprüfung </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Die Modulprüfung besteht aus einer Prüfungsleistung: </w:t>
            </w:r>
          </w:p>
          <w:p w:rsidR="00101980" w:rsidRPr="007275BA" w:rsidRDefault="00101980" w:rsidP="00101980">
            <w:p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Anrechenbare Studienleistung: </w:t>
            </w:r>
          </w:p>
          <w:p w:rsidR="00101980" w:rsidRPr="007275BA" w:rsidRDefault="00101980" w:rsidP="00101980">
            <w:pPr>
              <w:numPr>
                <w:ilvl w:val="0"/>
                <w:numId w:val="2"/>
              </w:num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90-minütige Klausur zu Kurs 5 </w:t>
            </w:r>
            <w:r w:rsidR="00E324D8" w:rsidRPr="007275BA">
              <w:rPr>
                <w:rFonts w:ascii="Roboto" w:eastAsia="Times New Roman" w:hAnsi="Roboto" w:cs="Arial"/>
                <w:color w:val="000000"/>
                <w:sz w:val="20"/>
                <w:szCs w:val="20"/>
              </w:rPr>
              <w:t>(Prüfungsnummer</w:t>
            </w:r>
            <w:r w:rsidR="00E03EBD" w:rsidRPr="007275BA">
              <w:rPr>
                <w:rFonts w:ascii="Roboto" w:eastAsia="Times New Roman" w:hAnsi="Roboto" w:cs="Arial"/>
                <w:color w:val="000000"/>
                <w:sz w:val="20"/>
                <w:szCs w:val="20"/>
              </w:rPr>
              <w:t>: 91305</w:t>
            </w:r>
            <w:r w:rsidR="00E324D8" w:rsidRPr="007275BA">
              <w:rPr>
                <w:rFonts w:ascii="Roboto" w:eastAsia="Times New Roman" w:hAnsi="Roboto" w:cs="Arial"/>
                <w:color w:val="000000"/>
                <w:sz w:val="20"/>
                <w:szCs w:val="20"/>
              </w:rPr>
              <w:t>)</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Die Studienleistung wird angerechnet, wenn die Note der Studienleistung mindestens „ausreichend“ ist.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p>
        </w:tc>
      </w:tr>
      <w:tr w:rsidR="00101980" w:rsidRPr="007275BA" w:rsidTr="00ED040E">
        <w:trPr>
          <w:trHeight w:val="364"/>
        </w:trPr>
        <w:tc>
          <w:tcPr>
            <w:tcW w:w="2628" w:type="dxa"/>
          </w:tcPr>
          <w:p w:rsidR="00101980" w:rsidRPr="007275BA" w:rsidRDefault="00101980" w:rsidP="00101980">
            <w:p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Leistungspunkte und Noten </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In dem Modul werden </w:t>
            </w:r>
            <w:r w:rsidR="000B49DE">
              <w:rPr>
                <w:rFonts w:ascii="Roboto" w:eastAsia="Times New Roman" w:hAnsi="Roboto" w:cs="Arial"/>
                <w:bCs/>
                <w:color w:val="000000"/>
                <w:sz w:val="20"/>
                <w:szCs w:val="20"/>
              </w:rPr>
              <w:t>5</w:t>
            </w:r>
            <w:r w:rsidRPr="007275BA">
              <w:rPr>
                <w:rFonts w:ascii="Roboto" w:eastAsia="Times New Roman" w:hAnsi="Roboto" w:cs="Arial"/>
                <w:bCs/>
                <w:color w:val="000000"/>
                <w:sz w:val="20"/>
                <w:szCs w:val="20"/>
              </w:rPr>
              <w:t xml:space="preserve"> Leistungspunkte</w:t>
            </w:r>
            <w:r w:rsidRPr="007275BA">
              <w:rPr>
                <w:rFonts w:ascii="Roboto" w:eastAsia="Times New Roman" w:hAnsi="Roboto" w:cs="Arial"/>
                <w:b/>
                <w:bCs/>
                <w:color w:val="000000"/>
                <w:sz w:val="20"/>
                <w:szCs w:val="20"/>
              </w:rPr>
              <w:t xml:space="preserve"> </w:t>
            </w:r>
            <w:r w:rsidRPr="007275BA">
              <w:rPr>
                <w:rFonts w:ascii="Roboto" w:eastAsia="Times New Roman" w:hAnsi="Roboto" w:cs="Arial"/>
                <w:color w:val="000000"/>
                <w:sz w:val="20"/>
                <w:szCs w:val="20"/>
              </w:rPr>
              <w:t xml:space="preserve">erworben.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Die Bewertung der Prüfungsleistung und die Bildung der Modulnote sind in § 10 der Prüfungsordnung geregelt.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p>
        </w:tc>
      </w:tr>
      <w:tr w:rsidR="00101980" w:rsidRPr="007275BA" w:rsidTr="00ED040E">
        <w:trPr>
          <w:trHeight w:val="253"/>
        </w:trPr>
        <w:tc>
          <w:tcPr>
            <w:tcW w:w="2628" w:type="dxa"/>
          </w:tcPr>
          <w:p w:rsidR="00101980" w:rsidRPr="007275BA" w:rsidRDefault="00101980" w:rsidP="00101980">
            <w:pPr>
              <w:autoSpaceDE w:val="0"/>
              <w:autoSpaceDN w:val="0"/>
              <w:adjustRightInd w:val="0"/>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Häufigkeit des Angebots </w:t>
            </w:r>
          </w:p>
        </w:tc>
        <w:tc>
          <w:tcPr>
            <w:tcW w:w="6480"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 xml:space="preserve">Das Modul wird in jedem zweiten Semester angeboten. </w:t>
            </w:r>
          </w:p>
          <w:p w:rsidR="00101980" w:rsidRPr="007275BA" w:rsidRDefault="00101980" w:rsidP="00101980">
            <w:pPr>
              <w:autoSpaceDE w:val="0"/>
              <w:autoSpaceDN w:val="0"/>
              <w:adjustRightInd w:val="0"/>
              <w:jc w:val="both"/>
              <w:rPr>
                <w:rFonts w:ascii="Roboto" w:eastAsia="Times New Roman" w:hAnsi="Roboto" w:cs="Arial"/>
                <w:color w:val="000000"/>
                <w:sz w:val="20"/>
                <w:szCs w:val="20"/>
              </w:rPr>
            </w:pPr>
          </w:p>
        </w:tc>
      </w:tr>
      <w:tr w:rsidR="00101980" w:rsidRPr="007275BA" w:rsidTr="007275BA">
        <w:trPr>
          <w:trHeight w:val="699"/>
        </w:trPr>
        <w:tc>
          <w:tcPr>
            <w:tcW w:w="2628"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lastRenderedPageBreak/>
              <w:t xml:space="preserve">Arbeitsaufwand </w:t>
            </w:r>
          </w:p>
        </w:tc>
        <w:tc>
          <w:tcPr>
            <w:tcW w:w="6480" w:type="dxa"/>
          </w:tcPr>
          <w:p w:rsidR="00101980" w:rsidRPr="007275BA" w:rsidRDefault="00101980" w:rsidP="00E324D8">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color w:val="000000"/>
                <w:sz w:val="20"/>
                <w:szCs w:val="20"/>
              </w:rPr>
              <w:t>Das Modul umfasst einen Gesamtarbeitsaufwand der Stud</w:t>
            </w:r>
            <w:r w:rsidR="00E324D8" w:rsidRPr="007275BA">
              <w:rPr>
                <w:rFonts w:ascii="Roboto" w:eastAsia="Times New Roman" w:hAnsi="Roboto" w:cs="Arial"/>
                <w:color w:val="000000"/>
                <w:sz w:val="20"/>
                <w:szCs w:val="20"/>
              </w:rPr>
              <w:t>enten</w:t>
            </w:r>
            <w:r w:rsidRPr="007275BA">
              <w:rPr>
                <w:rFonts w:ascii="Roboto" w:eastAsia="Times New Roman" w:hAnsi="Roboto" w:cs="Arial"/>
                <w:color w:val="000000"/>
                <w:sz w:val="20"/>
                <w:szCs w:val="20"/>
              </w:rPr>
              <w:t xml:space="preserve"> von </w:t>
            </w:r>
            <w:r w:rsidR="000B49DE">
              <w:rPr>
                <w:rFonts w:ascii="Roboto" w:eastAsia="Times New Roman" w:hAnsi="Roboto" w:cs="Arial"/>
                <w:color w:val="000000"/>
                <w:sz w:val="20"/>
                <w:szCs w:val="20"/>
              </w:rPr>
              <w:t>150</w:t>
            </w:r>
            <w:r w:rsidRPr="007275BA">
              <w:rPr>
                <w:rFonts w:ascii="Roboto" w:eastAsia="Times New Roman" w:hAnsi="Roboto" w:cs="Arial"/>
                <w:color w:val="000000"/>
                <w:sz w:val="20"/>
                <w:szCs w:val="20"/>
              </w:rPr>
              <w:t xml:space="preserve"> AS (60 Kontaktstunden und </w:t>
            </w:r>
            <w:r w:rsidR="000B49DE">
              <w:rPr>
                <w:rFonts w:ascii="Roboto" w:eastAsia="Times New Roman" w:hAnsi="Roboto" w:cs="Arial"/>
                <w:color w:val="000000"/>
                <w:sz w:val="20"/>
                <w:szCs w:val="20"/>
              </w:rPr>
              <w:t>90</w:t>
            </w:r>
            <w:r w:rsidRPr="007275BA">
              <w:rPr>
                <w:rFonts w:ascii="Roboto" w:eastAsia="Times New Roman" w:hAnsi="Roboto" w:cs="Arial"/>
                <w:color w:val="000000"/>
                <w:sz w:val="20"/>
                <w:szCs w:val="20"/>
              </w:rPr>
              <w:t xml:space="preserve"> Stunden Selbststudium). </w:t>
            </w:r>
          </w:p>
        </w:tc>
      </w:tr>
      <w:tr w:rsidR="00101980" w:rsidRPr="007275BA" w:rsidTr="007275BA">
        <w:trPr>
          <w:trHeight w:val="690"/>
        </w:trPr>
        <w:tc>
          <w:tcPr>
            <w:tcW w:w="2628" w:type="dxa"/>
          </w:tcPr>
          <w:p w:rsidR="00101980" w:rsidRPr="007275BA" w:rsidRDefault="00101980" w:rsidP="00101980">
            <w:pPr>
              <w:autoSpaceDE w:val="0"/>
              <w:autoSpaceDN w:val="0"/>
              <w:adjustRightInd w:val="0"/>
              <w:jc w:val="both"/>
              <w:rPr>
                <w:rFonts w:ascii="Roboto" w:eastAsia="Times New Roman" w:hAnsi="Roboto" w:cs="Arial"/>
                <w:color w:val="000000"/>
                <w:sz w:val="20"/>
                <w:szCs w:val="20"/>
              </w:rPr>
            </w:pPr>
            <w:r w:rsidRPr="007275BA">
              <w:rPr>
                <w:rFonts w:ascii="Roboto" w:eastAsia="Times New Roman" w:hAnsi="Roboto" w:cs="Arial"/>
                <w:b/>
                <w:bCs/>
                <w:color w:val="000000"/>
                <w:sz w:val="20"/>
                <w:szCs w:val="20"/>
              </w:rPr>
              <w:t xml:space="preserve">Dauer des Moduls </w:t>
            </w:r>
          </w:p>
        </w:tc>
        <w:tc>
          <w:tcPr>
            <w:tcW w:w="6480" w:type="dxa"/>
          </w:tcPr>
          <w:p w:rsidR="00101980" w:rsidRPr="007275BA" w:rsidRDefault="00101980" w:rsidP="000F6455">
            <w:pPr>
              <w:autoSpaceDE w:val="0"/>
              <w:autoSpaceDN w:val="0"/>
              <w:adjustRightInd w:val="0"/>
              <w:jc w:val="both"/>
              <w:rPr>
                <w:rFonts w:ascii="Roboto" w:eastAsia="Times New Roman" w:hAnsi="Roboto" w:cs="Arial"/>
                <w:color w:val="000000"/>
                <w:sz w:val="20"/>
                <w:szCs w:val="20"/>
              </w:rPr>
              <w:pPrChange w:id="0" w:author="Margit Tutzky" w:date="2022-01-21T08:31:00Z">
                <w:pPr>
                  <w:autoSpaceDE w:val="0"/>
                  <w:autoSpaceDN w:val="0"/>
                  <w:adjustRightInd w:val="0"/>
                </w:pPr>
              </w:pPrChange>
            </w:pPr>
            <w:r w:rsidRPr="007275BA">
              <w:rPr>
                <w:rFonts w:ascii="Roboto" w:eastAsia="Times New Roman" w:hAnsi="Roboto" w:cs="Arial"/>
                <w:color w:val="000000"/>
                <w:sz w:val="20"/>
                <w:szCs w:val="20"/>
              </w:rPr>
              <w:t xml:space="preserve">Bei regulärem Studienverlauf erstreckt sich das Modul auf ein Semester. </w:t>
            </w:r>
          </w:p>
        </w:tc>
      </w:tr>
    </w:tbl>
    <w:p w:rsidR="00101980" w:rsidRDefault="00101980">
      <w:bookmarkStart w:id="1" w:name="_GoBack"/>
      <w:bookmarkEnd w:id="1"/>
    </w:p>
    <w:sectPr w:rsidR="00101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25608"/>
    <w:multiLevelType w:val="hybridMultilevel"/>
    <w:tmpl w:val="4D1CB6DE"/>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B62427"/>
    <w:multiLevelType w:val="hybridMultilevel"/>
    <w:tmpl w:val="254C4364"/>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it Tutzky">
    <w15:presenceInfo w15:providerId="AD" w15:userId="S-1-5-21-2451251714-4163927906-775782218-1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80"/>
    <w:rsid w:val="000B49DE"/>
    <w:rsid w:val="000F6455"/>
    <w:rsid w:val="00101980"/>
    <w:rsid w:val="00346569"/>
    <w:rsid w:val="004C06C6"/>
    <w:rsid w:val="006800F8"/>
    <w:rsid w:val="007275BA"/>
    <w:rsid w:val="00785282"/>
    <w:rsid w:val="00B4535E"/>
    <w:rsid w:val="00C8490E"/>
    <w:rsid w:val="00E03EBD"/>
    <w:rsid w:val="00E324D8"/>
    <w:rsid w:val="00ED0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F3F33E-28AC-4B35-9934-0BEE07B0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1980"/>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F7B0CBDD.dotm</Template>
  <TotalTime>0</TotalTime>
  <Pages>2</Pages>
  <Words>308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4</cp:revision>
  <dcterms:created xsi:type="dcterms:W3CDTF">2022-01-19T08:12:00Z</dcterms:created>
  <dcterms:modified xsi:type="dcterms:W3CDTF">2022-01-21T07:31:00Z</dcterms:modified>
</cp:coreProperties>
</file>